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黑体" w:hAnsi="黑体" w:eastAsia="黑体"/>
          <w:color w:val="000000" w:themeColor="text1"/>
          <w:sz w:val="32"/>
          <w:szCs w:val="32"/>
          <w14:textFill>
            <w14:solidFill>
              <w14:schemeClr w14:val="tx1"/>
            </w14:solidFill>
          </w14:textFill>
        </w:rPr>
      </w:pPr>
      <w:bookmarkStart w:id="0" w:name="_GoBack"/>
      <w:r>
        <w:rPr>
          <w:rFonts w:ascii="黑体" w:hAnsi="黑体" w:eastAsia="黑体"/>
          <w:color w:val="000000" w:themeColor="text1"/>
          <w:sz w:val="32"/>
          <w:szCs w:val="32"/>
          <w14:textFill>
            <w14:solidFill>
              <w14:schemeClr w14:val="tx1"/>
            </w14:solidFill>
          </w14:textFill>
        </w:rPr>
        <w:t>附件1</w:t>
      </w:r>
    </w:p>
    <w:p>
      <w:pPr>
        <w:spacing w:line="460" w:lineRule="exact"/>
        <w:jc w:val="center"/>
        <w:rPr>
          <w:rFonts w:hint="eastAsia" w:asciiTheme="minorEastAsia" w:hAnsiTheme="minorEastAsia"/>
          <w:b/>
          <w:color w:val="000000" w:themeColor="text1"/>
          <w:sz w:val="32"/>
          <w:szCs w:val="32"/>
          <w14:textFill>
            <w14:solidFill>
              <w14:schemeClr w14:val="tx1"/>
            </w14:solidFill>
          </w14:textFill>
        </w:rPr>
      </w:pPr>
      <w:r>
        <w:rPr>
          <w:rFonts w:hint="eastAsia" w:asciiTheme="minorEastAsia" w:hAnsiTheme="minorEastAsia"/>
          <w:b/>
          <w:color w:val="000000" w:themeColor="text1"/>
          <w:sz w:val="32"/>
          <w:szCs w:val="32"/>
          <w14:textFill>
            <w14:solidFill>
              <w14:schemeClr w14:val="tx1"/>
            </w14:solidFill>
          </w14:textFill>
        </w:rPr>
        <w:t>武汉商学院2022年普通专升本招生专业</w:t>
      </w:r>
    </w:p>
    <w:p>
      <w:pPr>
        <w:spacing w:line="460" w:lineRule="exact"/>
        <w:jc w:val="center"/>
        <w:rPr>
          <w:rFonts w:asciiTheme="minorEastAsia" w:hAnsiTheme="minorEastAsia"/>
          <w:b/>
          <w:color w:val="000000" w:themeColor="text1"/>
          <w:sz w:val="32"/>
          <w:szCs w:val="32"/>
          <w14:textFill>
            <w14:solidFill>
              <w14:schemeClr w14:val="tx1"/>
            </w14:solidFill>
          </w14:textFill>
        </w:rPr>
      </w:pPr>
      <w:r>
        <w:rPr>
          <w:rFonts w:hint="eastAsia" w:asciiTheme="minorEastAsia" w:hAnsiTheme="minorEastAsia"/>
          <w:b/>
          <w:color w:val="000000" w:themeColor="text1"/>
          <w:sz w:val="32"/>
          <w:szCs w:val="32"/>
          <w14:textFill>
            <w14:solidFill>
              <w14:schemeClr w14:val="tx1"/>
            </w14:solidFill>
          </w14:textFill>
        </w:rPr>
        <w:t>对高职（专科）专业的报考范围要求</w:t>
      </w:r>
    </w:p>
    <w:bookmarkEnd w:id="0"/>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7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68" w:type="pct"/>
            <w:vAlign w:val="center"/>
          </w:tcPr>
          <w:p>
            <w:pPr>
              <w:jc w:val="center"/>
              <w:rPr>
                <w:rFonts w:asciiTheme="minorEastAsia" w:hAnsiTheme="minorEastAsia"/>
                <w:b/>
                <w:color w:val="000000" w:themeColor="text1"/>
                <w:sz w:val="24"/>
                <w:szCs w:val="24"/>
                <w14:textFill>
                  <w14:solidFill>
                    <w14:schemeClr w14:val="tx1"/>
                  </w14:solidFill>
                </w14:textFill>
              </w:rPr>
            </w:pPr>
            <w:r>
              <w:rPr>
                <w:rFonts w:asciiTheme="minorEastAsia" w:hAnsiTheme="minorEastAsia"/>
                <w:b/>
                <w:color w:val="000000" w:themeColor="text1"/>
                <w:sz w:val="24"/>
                <w:szCs w:val="24"/>
                <w14:textFill>
                  <w14:solidFill>
                    <w14:schemeClr w14:val="tx1"/>
                  </w14:solidFill>
                </w14:textFill>
              </w:rPr>
              <w:t>招生本科专业</w:t>
            </w:r>
          </w:p>
        </w:tc>
        <w:tc>
          <w:tcPr>
            <w:tcW w:w="4132" w:type="pct"/>
            <w:vAlign w:val="center"/>
          </w:tcPr>
          <w:p>
            <w:pPr>
              <w:jc w:val="center"/>
              <w:rPr>
                <w:rFonts w:asciiTheme="minorEastAsia" w:hAnsiTheme="minorEastAsia"/>
                <w:b/>
                <w:color w:val="000000" w:themeColor="text1"/>
                <w:sz w:val="24"/>
                <w:szCs w:val="24"/>
                <w14:textFill>
                  <w14:solidFill>
                    <w14:schemeClr w14:val="tx1"/>
                  </w14:solidFill>
                </w14:textFill>
              </w:rPr>
            </w:pPr>
            <w:r>
              <w:rPr>
                <w:rFonts w:asciiTheme="minorEastAsia" w:hAnsiTheme="minorEastAsia"/>
                <w:b/>
                <w:color w:val="000000" w:themeColor="text1"/>
                <w:sz w:val="24"/>
                <w:szCs w:val="24"/>
                <w14:textFill>
                  <w14:solidFill>
                    <w14:schemeClr w14:val="tx1"/>
                  </w14:solidFill>
                </w14:textFill>
              </w:rPr>
              <w:t>对应招收高职高专专业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68" w:type="pct"/>
            <w:vAlign w:val="center"/>
          </w:tcPr>
          <w:p>
            <w:pPr>
              <w:widowControl/>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财务管理</w:t>
            </w:r>
          </w:p>
        </w:tc>
        <w:tc>
          <w:tcPr>
            <w:tcW w:w="4132" w:type="pct"/>
            <w:vAlign w:val="center"/>
          </w:tcPr>
          <w:p>
            <w:pPr>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财务管理、会计、审计、会计信息管理、</w:t>
            </w:r>
            <w:r>
              <w:rPr>
                <w:rFonts w:ascii="宋体" w:hAnsi="宋体"/>
                <w:color w:val="000000" w:themeColor="text1"/>
                <w:sz w:val="24"/>
                <w:szCs w:val="24"/>
                <w14:textFill>
                  <w14:solidFill>
                    <w14:schemeClr w14:val="tx1"/>
                  </w14:solidFill>
                </w14:textFill>
              </w:rPr>
              <w:t>投资与理财</w:t>
            </w: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统计与会计核算</w:t>
            </w:r>
            <w:r>
              <w:rPr>
                <w:rFonts w:hint="eastAsia" w:ascii="宋体" w:hAnsi="宋体"/>
                <w:color w:val="000000" w:themeColor="text1"/>
                <w:sz w:val="24"/>
                <w:szCs w:val="24"/>
                <w14:textFill>
                  <w14:solidFill>
                    <w14:schemeClr w14:val="tx1"/>
                  </w14:solidFill>
                </w14:textFill>
              </w:rPr>
              <w:t>（备注：仅限于以上专业报考）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68" w:type="pct"/>
            <w:vAlign w:val="center"/>
          </w:tcPr>
          <w:p>
            <w:pPr>
              <w:widowControl/>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国际商务</w:t>
            </w:r>
          </w:p>
        </w:tc>
        <w:tc>
          <w:tcPr>
            <w:tcW w:w="4132" w:type="pct"/>
            <w:vAlign w:val="center"/>
          </w:tcPr>
          <w:p>
            <w:pPr>
              <w:jc w:val="left"/>
              <w:rPr>
                <w:rFonts w:cs="宋体" w:asciiTheme="minorEastAsia" w:hAnsiTheme="minorEastAsia"/>
                <w:color w:val="000000" w:themeColor="text1"/>
                <w:kern w:val="0"/>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财政、税务、国际金融、投资与理财、会计、国际经济与贸易、国际贸易实务、国际商务、统计与会计核算、市场营销、商务管理、电子商务、移动商务、物流管理等财经商贸大类相关专业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68" w:type="pct"/>
            <w:vAlign w:val="center"/>
          </w:tcPr>
          <w:p>
            <w:pPr>
              <w:widowControl/>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人力资源管理</w:t>
            </w:r>
          </w:p>
        </w:tc>
        <w:tc>
          <w:tcPr>
            <w:tcW w:w="4132" w:type="pct"/>
            <w:vAlign w:val="center"/>
          </w:tcPr>
          <w:p>
            <w:pPr>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人力资源管理、商务管理、连锁经营管理、市场营销、物业管理、市场管理与服务、品牌代理经营、广告策划与营销、会计、心理咨询、工商企业管理、</w:t>
            </w:r>
            <w:r>
              <w:rPr>
                <w:rFonts w:cs="宋体" w:asciiTheme="minorEastAsia" w:hAnsiTheme="minorEastAsia"/>
                <w:color w:val="000000" w:themeColor="text1"/>
                <w:kern w:val="0"/>
                <w:sz w:val="24"/>
                <w:szCs w:val="24"/>
                <w14:textFill>
                  <w14:solidFill>
                    <w14:schemeClr w14:val="tx1"/>
                  </w14:solidFill>
                </w14:textFill>
              </w:rPr>
              <w:t>中小企业创业与经营</w:t>
            </w:r>
            <w:r>
              <w:rPr>
                <w:rFonts w:hint="eastAsia" w:cs="宋体" w:asciiTheme="minorEastAsia" w:hAnsiTheme="minorEastAsia"/>
                <w:color w:val="000000" w:themeColor="text1"/>
                <w:kern w:val="0"/>
                <w:sz w:val="24"/>
                <w:szCs w:val="24"/>
                <w14:textFill>
                  <w14:solidFill>
                    <w14:schemeClr w14:val="tx1"/>
                  </w14:solidFill>
                </w14:textFill>
              </w:rPr>
              <w:t>（备注：仅限于以上专业报考）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68" w:type="pct"/>
            <w:vAlign w:val="center"/>
          </w:tcPr>
          <w:p>
            <w:pPr>
              <w:widowControl/>
              <w:jc w:val="center"/>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休闲体育</w:t>
            </w:r>
          </w:p>
        </w:tc>
        <w:tc>
          <w:tcPr>
            <w:tcW w:w="4132" w:type="pct"/>
            <w:vAlign w:val="center"/>
          </w:tcPr>
          <w:p>
            <w:pPr>
              <w:jc w:val="left"/>
              <w:rPr>
                <w:rFonts w:cs="宋体" w:asciiTheme="minorEastAsia" w:hAnsiTheme="minorEastAsia"/>
                <w:color w:val="000000" w:themeColor="text1"/>
                <w:kern w:val="0"/>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社会体育、运动训练、休闲体育、民族传统体育、体育运营与管理、健身指导与管理、电子竞技运动与管理、冰雪设施运维与管理等体育类相关专业及教育类的体育教育专业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68" w:type="pct"/>
            <w:vAlign w:val="center"/>
          </w:tcPr>
          <w:p>
            <w:pPr>
              <w:widowControl/>
              <w:jc w:val="center"/>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软件工程</w:t>
            </w:r>
          </w:p>
        </w:tc>
        <w:tc>
          <w:tcPr>
            <w:tcW w:w="4132" w:type="pct"/>
            <w:vAlign w:val="center"/>
          </w:tcPr>
          <w:p>
            <w:pPr>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计算机应用技术、数字展示技术、物联网应用技术等计算机类、电子信息类相关专业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68" w:type="pct"/>
            <w:vAlign w:val="center"/>
          </w:tcPr>
          <w:p>
            <w:pPr>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建筑环境与能源应用工程</w:t>
            </w:r>
          </w:p>
        </w:tc>
        <w:tc>
          <w:tcPr>
            <w:tcW w:w="4132" w:type="pct"/>
            <w:vAlign w:val="center"/>
          </w:tcPr>
          <w:p>
            <w:pPr>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制冷与空调技术、供热通风与空调工程技术、物业管理、建筑设备工程技术、建筑工程技术、冷链物流技术与管理、发电厂及电力系统、工程造价、建设项目信息化管理、</w:t>
            </w:r>
            <w:r>
              <w:rPr>
                <w:rFonts w:ascii="宋体" w:hAnsi="宋体"/>
                <w:color w:val="000000" w:themeColor="text1"/>
                <w:sz w:val="24"/>
                <w:szCs w:val="24"/>
                <w14:textFill>
                  <w14:solidFill>
                    <w14:schemeClr w14:val="tx1"/>
                  </w14:solidFill>
                </w14:textFill>
              </w:rPr>
              <w:t>工业节能技术</w:t>
            </w: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建筑电气工程技术</w:t>
            </w: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城市燃气工程技术</w:t>
            </w: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管道工程技术</w:t>
            </w:r>
            <w:r>
              <w:rPr>
                <w:rFonts w:hint="eastAsia" w:ascii="宋体" w:hAnsi="宋体"/>
                <w:color w:val="000000" w:themeColor="text1"/>
                <w:sz w:val="24"/>
                <w:szCs w:val="24"/>
                <w14:textFill>
                  <w14:solidFill>
                    <w14:schemeClr w14:val="tx1"/>
                  </w14:solidFill>
                </w14:textFill>
              </w:rPr>
              <w:t>、智能建造技术</w:t>
            </w:r>
            <w:r>
              <w:rPr>
                <w:rFonts w:ascii="宋体" w:hAnsi="宋体"/>
                <w:color w:val="000000" w:themeColor="text1"/>
                <w:sz w:val="24"/>
                <w:szCs w:val="24"/>
                <w14:textFill>
                  <w14:solidFill>
                    <w14:schemeClr w14:val="tx1"/>
                  </w14:solidFill>
                </w14:textFill>
              </w:rPr>
              <w:t>（备注：仅限于以上专业报考）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68" w:type="pct"/>
            <w:vAlign w:val="center"/>
          </w:tcPr>
          <w:p>
            <w:pPr>
              <w:widowControl/>
              <w:jc w:val="center"/>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食品质量与安全</w:t>
            </w:r>
          </w:p>
        </w:tc>
        <w:tc>
          <w:tcPr>
            <w:tcW w:w="4132" w:type="pct"/>
            <w:vAlign w:val="center"/>
          </w:tcPr>
          <w:p>
            <w:pPr>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食品加工技术、酿酒技术、食品质量与安全、食品贮运与营销、食品检测技术、食品营养与卫生、食品营养与检测、保健品开发与管理、粮食工程技术、粮油储藏与检测技术等食品药品与粮食大类相关专业及烹调工艺与营养、中西面点工艺、西餐工艺、餐饮管理、营养配餐、农产品加工与质量检测、绿色食品生产与检验、食品生物技术、化工生物技术、药品生物技术、生物产品检验检疫、食品包装技术（备注：仅限于以上专业报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68" w:type="pct"/>
            <w:vAlign w:val="center"/>
          </w:tcPr>
          <w:p>
            <w:pPr>
              <w:widowControl/>
              <w:jc w:val="center"/>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烹饪与营养教育</w:t>
            </w:r>
          </w:p>
        </w:tc>
        <w:tc>
          <w:tcPr>
            <w:tcW w:w="4132" w:type="pct"/>
            <w:vAlign w:val="center"/>
          </w:tcPr>
          <w:p>
            <w:pPr>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烹调工艺与营养、中西面点工艺、西餐工艺、食品加工技术、餐饮管理、食品营养与检测、食品营养与卫生、保健品开发与管理、营养配餐、健康管理、医学营养、中医养生保健</w:t>
            </w:r>
            <w:r>
              <w:rPr>
                <w:rFonts w:ascii="宋体" w:hAnsi="宋体"/>
                <w:color w:val="000000" w:themeColor="text1"/>
                <w:sz w:val="24"/>
                <w:szCs w:val="24"/>
                <w14:textFill>
                  <w14:solidFill>
                    <w14:schemeClr w14:val="tx1"/>
                  </w14:solidFill>
                </w14:textFill>
              </w:rPr>
              <w:t>（备注：仅限于以上专业报考）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68" w:type="pct"/>
            <w:vAlign w:val="center"/>
          </w:tcPr>
          <w:p>
            <w:pPr>
              <w:widowControl/>
              <w:jc w:val="center"/>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零售业管理</w:t>
            </w:r>
          </w:p>
        </w:tc>
        <w:tc>
          <w:tcPr>
            <w:tcW w:w="4132" w:type="pct"/>
            <w:vAlign w:val="center"/>
          </w:tcPr>
          <w:p>
            <w:pPr>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市场</w:t>
            </w:r>
            <w:r>
              <w:rPr>
                <w:rFonts w:cs="宋体" w:asciiTheme="minorEastAsia" w:hAnsiTheme="minorEastAsia"/>
                <w:color w:val="000000" w:themeColor="text1"/>
                <w:kern w:val="0"/>
                <w:sz w:val="24"/>
                <w:szCs w:val="24"/>
                <w14:textFill>
                  <w14:solidFill>
                    <w14:schemeClr w14:val="tx1"/>
                  </w14:solidFill>
                </w14:textFill>
              </w:rPr>
              <w:t>营销</w:t>
            </w:r>
            <w:r>
              <w:rPr>
                <w:rFonts w:hint="eastAsia" w:cs="宋体" w:asciiTheme="minorEastAsia" w:hAnsiTheme="minorEastAsia"/>
                <w:color w:val="000000" w:themeColor="text1"/>
                <w:kern w:val="0"/>
                <w:sz w:val="24"/>
                <w:szCs w:val="24"/>
                <w14:textFill>
                  <w14:solidFill>
                    <w14:schemeClr w14:val="tx1"/>
                  </w14:solidFill>
                </w14:textFill>
              </w:rPr>
              <w:t>、</w:t>
            </w:r>
            <w:r>
              <w:rPr>
                <w:rFonts w:cs="宋体" w:asciiTheme="minorEastAsia" w:hAnsiTheme="minorEastAsia"/>
                <w:color w:val="000000" w:themeColor="text1"/>
                <w:kern w:val="0"/>
                <w:sz w:val="24"/>
                <w:szCs w:val="24"/>
                <w14:textFill>
                  <w14:solidFill>
                    <w14:schemeClr w14:val="tx1"/>
                  </w14:solidFill>
                </w14:textFill>
              </w:rPr>
              <w:t>市场管理与服务</w:t>
            </w:r>
            <w:r>
              <w:rPr>
                <w:rFonts w:hint="eastAsia" w:cs="宋体" w:asciiTheme="minorEastAsia" w:hAnsiTheme="minorEastAsia"/>
                <w:color w:val="000000" w:themeColor="text1"/>
                <w:kern w:val="0"/>
                <w:sz w:val="24"/>
                <w:szCs w:val="24"/>
                <w14:textFill>
                  <w14:solidFill>
                    <w14:schemeClr w14:val="tx1"/>
                  </w14:solidFill>
                </w14:textFill>
              </w:rPr>
              <w:t>、连锁经营管理、商务管理、品牌代理经营、广告策划与营销（备注：仅限于以上专业报考）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68" w:type="pct"/>
            <w:vAlign w:val="center"/>
          </w:tcPr>
          <w:p>
            <w:pPr>
              <w:jc w:val="center"/>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酒店管理</w:t>
            </w:r>
          </w:p>
        </w:tc>
        <w:tc>
          <w:tcPr>
            <w:tcW w:w="4132" w:type="pct"/>
            <w:vAlign w:val="center"/>
          </w:tcPr>
          <w:p>
            <w:pPr>
              <w:jc w:val="left"/>
              <w:rPr>
                <w:rFonts w:cs="宋体" w:asciiTheme="minorEastAsia" w:hAnsiTheme="minorEastAsia"/>
                <w:color w:val="000000" w:themeColor="text1"/>
                <w:kern w:val="0"/>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酒店管理、休闲服务与管理、餐饮管理、</w:t>
            </w:r>
            <w:r>
              <w:rPr>
                <w:rFonts w:ascii="宋体" w:hAnsi="宋体"/>
                <w:color w:val="000000" w:themeColor="text1"/>
                <w:sz w:val="24"/>
                <w:szCs w:val="24"/>
                <w14:textFill>
                  <w14:solidFill>
                    <w14:schemeClr w14:val="tx1"/>
                  </w14:solidFill>
                </w14:textFill>
              </w:rPr>
              <w:t>国际邮轮乘务管理</w:t>
            </w: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空中乘务</w:t>
            </w:r>
            <w:r>
              <w:rPr>
                <w:rFonts w:hint="eastAsia" w:ascii="宋体" w:hAnsi="宋体"/>
                <w:color w:val="000000" w:themeColor="text1"/>
                <w:sz w:val="24"/>
                <w:szCs w:val="24"/>
                <w14:textFill>
                  <w14:solidFill>
                    <w14:schemeClr w14:val="tx1"/>
                  </w14:solidFill>
                </w14:textFill>
              </w:rPr>
              <w:t>、旅游管理、旅游英语、旅游日语、森林生态旅游、葡萄酒营销与服务、研学旅行管理与服务、导游、旅行社经营管理、景区开发与管理、烹调工艺与营养、营养配餐、中西面点工艺、西餐工艺、信息统计与分析、经济信息管理、国际经济与贸易、商务管理、移动商务、会展策划与管理、公共文化服务与管理、文化创意与策划</w:t>
            </w:r>
            <w:r>
              <w:rPr>
                <w:rFonts w:hint="eastAsia" w:cs="宋体" w:asciiTheme="minorEastAsia" w:hAnsiTheme="minorEastAsia"/>
                <w:color w:val="000000" w:themeColor="text1"/>
                <w:kern w:val="0"/>
                <w:sz w:val="24"/>
                <w:szCs w:val="24"/>
                <w14:textFill>
                  <w14:solidFill>
                    <w14:schemeClr w14:val="tx1"/>
                  </w14:solidFill>
                </w14:textFill>
              </w:rPr>
              <w:t>（备注：仅限于以上专业报考）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68" w:type="pct"/>
            <w:vAlign w:val="center"/>
          </w:tcPr>
          <w:p>
            <w:pPr>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会展经济与管理</w:t>
            </w:r>
          </w:p>
        </w:tc>
        <w:tc>
          <w:tcPr>
            <w:tcW w:w="4132" w:type="pct"/>
            <w:vAlign w:val="center"/>
          </w:tcPr>
          <w:p>
            <w:pPr>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会展策划与管理、旅游管理、酒店管理、休闲服务与管理、商务管理、市场营销、</w:t>
            </w:r>
            <w:r>
              <w:rPr>
                <w:rFonts w:ascii="宋体" w:hAnsi="宋体"/>
                <w:color w:val="000000" w:themeColor="text1"/>
                <w:sz w:val="24"/>
                <w:szCs w:val="24"/>
                <w14:textFill>
                  <w14:solidFill>
                    <w14:schemeClr w14:val="tx1"/>
                  </w14:solidFill>
                </w14:textFill>
              </w:rPr>
              <w:t>广告策划与营销</w:t>
            </w:r>
            <w:r>
              <w:rPr>
                <w:rFonts w:hint="eastAsia" w:ascii="宋体" w:hAnsi="宋体"/>
                <w:color w:val="000000" w:themeColor="text1"/>
                <w:sz w:val="24"/>
                <w:szCs w:val="24"/>
                <w14:textFill>
                  <w14:solidFill>
                    <w14:schemeClr w14:val="tx1"/>
                  </w14:solidFill>
                </w14:textFill>
              </w:rPr>
              <w:t>、电子商务、</w:t>
            </w:r>
            <w:r>
              <w:rPr>
                <w:rFonts w:ascii="宋体" w:hAnsi="宋体"/>
                <w:color w:val="000000" w:themeColor="text1"/>
                <w:sz w:val="24"/>
                <w:szCs w:val="24"/>
                <w14:textFill>
                  <w14:solidFill>
                    <w14:schemeClr w14:val="tx1"/>
                  </w14:solidFill>
                </w14:textFill>
              </w:rPr>
              <w:t>移动商务</w:t>
            </w: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网络营销</w:t>
            </w: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展示艺术设计</w:t>
            </w:r>
            <w:r>
              <w:rPr>
                <w:rFonts w:hint="eastAsia" w:ascii="宋体" w:hAnsi="宋体"/>
                <w:color w:val="000000" w:themeColor="text1"/>
                <w:sz w:val="24"/>
                <w:szCs w:val="24"/>
                <w14:textFill>
                  <w14:solidFill>
                    <w14:schemeClr w14:val="tx1"/>
                  </w14:solidFill>
                </w14:textFill>
              </w:rPr>
              <w:t>、公共文化服务与管理、</w:t>
            </w:r>
            <w:r>
              <w:rPr>
                <w:rFonts w:ascii="宋体" w:hAnsi="宋体"/>
                <w:color w:val="000000" w:themeColor="text1"/>
                <w:sz w:val="24"/>
                <w:szCs w:val="24"/>
                <w14:textFill>
                  <w14:solidFill>
                    <w14:schemeClr w14:val="tx1"/>
                  </w14:solidFill>
                </w14:textFill>
              </w:rPr>
              <w:t>文化创意与策划</w:t>
            </w:r>
            <w:r>
              <w:rPr>
                <w:rFonts w:hint="eastAsia" w:ascii="宋体" w:hAnsi="宋体"/>
                <w:color w:val="000000" w:themeColor="text1"/>
                <w:sz w:val="24"/>
                <w:szCs w:val="24"/>
                <w14:textFill>
                  <w14:solidFill>
                    <w14:schemeClr w14:val="tx1"/>
                  </w14:solidFill>
                </w14:textFill>
              </w:rPr>
              <w:t>（备注：仅限于以上专业报考）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68" w:type="pct"/>
            <w:vAlign w:val="center"/>
          </w:tcPr>
          <w:p>
            <w:pPr>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旅游管理与服务教育</w:t>
            </w:r>
          </w:p>
        </w:tc>
        <w:tc>
          <w:tcPr>
            <w:tcW w:w="4132" w:type="pct"/>
            <w:vAlign w:val="center"/>
          </w:tcPr>
          <w:p>
            <w:pPr>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旅游管理、酒店管理、空中乘务、旅游英语、旅游日语、</w:t>
            </w:r>
            <w:r>
              <w:rPr>
                <w:rFonts w:ascii="宋体" w:hAnsi="宋体"/>
                <w:color w:val="000000" w:themeColor="text1"/>
                <w:sz w:val="24"/>
                <w:szCs w:val="24"/>
                <w14:textFill>
                  <w14:solidFill>
                    <w14:schemeClr w14:val="tx1"/>
                  </w14:solidFill>
                </w14:textFill>
              </w:rPr>
              <w:t>商务管理</w:t>
            </w:r>
            <w:r>
              <w:rPr>
                <w:rFonts w:hint="eastAsia" w:ascii="宋体" w:hAnsi="宋体"/>
                <w:color w:val="000000" w:themeColor="text1"/>
                <w:sz w:val="24"/>
                <w:szCs w:val="24"/>
                <w14:textFill>
                  <w14:solidFill>
                    <w14:schemeClr w14:val="tx1"/>
                  </w14:solidFill>
                </w14:textFill>
              </w:rPr>
              <w:t>、导游、旅行社经营管理、</w:t>
            </w:r>
            <w:r>
              <w:rPr>
                <w:rFonts w:ascii="宋体" w:hAnsi="宋体"/>
                <w:color w:val="000000" w:themeColor="text1"/>
                <w:sz w:val="24"/>
                <w:szCs w:val="24"/>
                <w14:textFill>
                  <w14:solidFill>
                    <w14:schemeClr w14:val="tx1"/>
                  </w14:solidFill>
                </w14:textFill>
              </w:rPr>
              <w:t>景区开发与管理</w:t>
            </w: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休闲服务与管理</w:t>
            </w: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餐饮管理</w:t>
            </w: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会展策划与管理</w:t>
            </w:r>
            <w:r>
              <w:rPr>
                <w:rFonts w:hint="eastAsia" w:ascii="宋体" w:hAnsi="宋体"/>
                <w:color w:val="000000" w:themeColor="text1"/>
                <w:sz w:val="24"/>
                <w:szCs w:val="24"/>
                <w14:textFill>
                  <w14:solidFill>
                    <w14:schemeClr w14:val="tx1"/>
                  </w14:solidFill>
                </w14:textFill>
              </w:rPr>
              <w:t>、国际邮轮乘务管理</w:t>
            </w:r>
            <w:r>
              <w:rPr>
                <w:rFonts w:ascii="宋体" w:hAnsi="宋体"/>
                <w:color w:val="000000" w:themeColor="text1"/>
                <w:sz w:val="24"/>
                <w:szCs w:val="24"/>
                <w14:textFill>
                  <w14:solidFill>
                    <w14:schemeClr w14:val="tx1"/>
                  </w14:solidFill>
                </w14:textFill>
              </w:rPr>
              <w:t>（备注：仅限于以上专业报考）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68" w:type="pct"/>
            <w:vAlign w:val="center"/>
          </w:tcPr>
          <w:p>
            <w:pPr>
              <w:widowControl/>
              <w:jc w:val="center"/>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动画</w:t>
            </w:r>
          </w:p>
        </w:tc>
        <w:tc>
          <w:tcPr>
            <w:tcW w:w="4132" w:type="pct"/>
            <w:vAlign w:val="center"/>
          </w:tcPr>
          <w:p>
            <w:pPr>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动漫设计、艺术设计、影视动画、影视多媒体技术、动漫制作技术、视觉传播设计与制作、广告设计与制作、数字媒体艺术设计、产品艺术设计、室内艺术设计、展示艺术设计、环境艺术设计、公共艺术设计、包装艺术设计、工艺美术品设计、家具艺术设计、游戏设计、人物形象设计、美术（备注：仅限于以上专业报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68" w:type="pct"/>
            <w:vAlign w:val="center"/>
          </w:tcPr>
          <w:p>
            <w:pPr>
              <w:widowControl/>
              <w:jc w:val="center"/>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数字媒体艺术</w:t>
            </w:r>
          </w:p>
        </w:tc>
        <w:tc>
          <w:tcPr>
            <w:tcW w:w="4132" w:type="pct"/>
            <w:vAlign w:val="center"/>
          </w:tcPr>
          <w:p>
            <w:pPr>
              <w:widowControl/>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数字媒体艺术设计、艺术设计、动漫设计、影视动画、影视多媒体技术、游戏设计、摄影与摄像艺术、视觉传播设计与制作、广告设计与制作、产品艺术设计、室内艺术设计、展示艺术设计、环境艺术设计、公共艺术设计、包装艺术设计、工艺美术品设计、家具艺术设计、人物形象设计、美术（备注：仅限于以上专业报考）</w:t>
            </w:r>
          </w:p>
        </w:tc>
      </w:tr>
    </w:tbl>
    <w:p>
      <w:pPr>
        <w:spacing w:line="360" w:lineRule="auto"/>
        <w:jc w:val="left"/>
        <w:rPr>
          <w:rFonts w:ascii="黑体" w:hAnsi="黑体" w:eastAsia="黑体"/>
          <w:color w:val="000000" w:themeColor="text1"/>
          <w:sz w:val="32"/>
          <w:szCs w:val="32"/>
          <w14:textFill>
            <w14:solidFill>
              <w14:schemeClr w14:val="tx1"/>
            </w14:solidFill>
          </w14:textFill>
        </w:rPr>
      </w:pPr>
    </w:p>
    <w:p>
      <w:pPr>
        <w:spacing w:line="360" w:lineRule="auto"/>
        <w:jc w:val="left"/>
        <w:rPr>
          <w:rFonts w:ascii="黑体" w:hAnsi="黑体" w:eastAsia="黑体"/>
          <w:color w:val="000000" w:themeColor="text1"/>
          <w:sz w:val="32"/>
          <w:szCs w:val="32"/>
          <w14:textFill>
            <w14:solidFill>
              <w14:schemeClr w14:val="tx1"/>
            </w14:solidFill>
          </w14:textFill>
        </w:rPr>
      </w:pPr>
    </w:p>
    <w:p>
      <w:pPr>
        <w:spacing w:line="360" w:lineRule="auto"/>
        <w:jc w:val="left"/>
        <w:rPr>
          <w:rFonts w:ascii="黑体" w:hAnsi="黑体" w:eastAsia="黑体"/>
          <w:color w:val="000000" w:themeColor="text1"/>
          <w:sz w:val="32"/>
          <w:szCs w:val="32"/>
          <w14:textFill>
            <w14:solidFill>
              <w14:schemeClr w14:val="tx1"/>
            </w14:solidFill>
          </w14:textFill>
        </w:rPr>
      </w:pPr>
    </w:p>
    <w:p>
      <w:pPr>
        <w:spacing w:line="360" w:lineRule="auto"/>
        <w:jc w:val="left"/>
        <w:rPr>
          <w:rFonts w:ascii="黑体" w:hAnsi="黑体" w:eastAsia="黑体"/>
          <w:color w:val="000000" w:themeColor="text1"/>
          <w:sz w:val="32"/>
          <w:szCs w:val="32"/>
          <w14:textFill>
            <w14:solidFill>
              <w14:schemeClr w14:val="tx1"/>
            </w14:solidFill>
          </w14:textFill>
        </w:rPr>
      </w:pPr>
    </w:p>
    <w:p>
      <w:pPr>
        <w:spacing w:line="360" w:lineRule="auto"/>
        <w:jc w:val="left"/>
        <w:rPr>
          <w:rFonts w:ascii="黑体" w:hAnsi="黑体" w:eastAsia="黑体"/>
          <w:color w:val="000000" w:themeColor="text1"/>
          <w:sz w:val="32"/>
          <w:szCs w:val="32"/>
          <w14:textFill>
            <w14:solidFill>
              <w14:schemeClr w14:val="tx1"/>
            </w14:solidFill>
          </w14:textFill>
        </w:rPr>
      </w:pPr>
    </w:p>
    <w:p>
      <w:pPr>
        <w:spacing w:line="360" w:lineRule="auto"/>
        <w:jc w:val="left"/>
        <w:rPr>
          <w:rFonts w:ascii="黑体" w:hAnsi="黑体" w:eastAsia="黑体"/>
          <w:color w:val="000000" w:themeColor="text1"/>
          <w:sz w:val="32"/>
          <w:szCs w:val="32"/>
          <w14:textFill>
            <w14:solidFill>
              <w14:schemeClr w14:val="tx1"/>
            </w14:solidFill>
          </w14:textFill>
        </w:rPr>
      </w:pPr>
    </w:p>
    <w:p>
      <w:pPr>
        <w:spacing w:line="360" w:lineRule="auto"/>
        <w:jc w:val="left"/>
        <w:rPr>
          <w:rFonts w:ascii="黑体" w:hAnsi="黑体" w:eastAsia="黑体"/>
          <w:color w:val="000000" w:themeColor="text1"/>
          <w:sz w:val="32"/>
          <w:szCs w:val="32"/>
          <w14:textFill>
            <w14:solidFill>
              <w14:schemeClr w14:val="tx1"/>
            </w14:solidFill>
          </w14:textFill>
        </w:rPr>
      </w:pPr>
    </w:p>
    <w:p>
      <w:pPr>
        <w:spacing w:line="360" w:lineRule="auto"/>
        <w:jc w:val="left"/>
        <w:rPr>
          <w:rFonts w:ascii="黑体" w:hAnsi="黑体" w:eastAsia="黑体"/>
          <w:color w:val="000000" w:themeColor="text1"/>
          <w:sz w:val="32"/>
          <w:szCs w:val="32"/>
          <w14:textFill>
            <w14:solidFill>
              <w14:schemeClr w14:val="tx1"/>
            </w14:solidFill>
          </w14:textFill>
        </w:rPr>
      </w:pPr>
    </w:p>
    <w:p>
      <w:pPr>
        <w:spacing w:line="360" w:lineRule="auto"/>
        <w:jc w:val="left"/>
        <w:rPr>
          <w:rFonts w:ascii="黑体" w:hAnsi="黑体" w:eastAsia="黑体"/>
          <w:color w:val="000000" w:themeColor="text1"/>
          <w:sz w:val="32"/>
          <w:szCs w:val="32"/>
          <w14:textFill>
            <w14:solidFill>
              <w14:schemeClr w14:val="tx1"/>
            </w14:solidFill>
          </w14:textFill>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8C5327"/>
    <w:rsid w:val="6B8C53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
    <w:name w:val="_Style 29"/>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2022-03-22T12:00:00Z</dcterms:created>
  <dc:creator>代怡卉。</dc:creator>
  <cp:lastModifiedBy>代怡卉。</cp:lastModifiedBy>
  <dcterms:modified xsi:type="dcterms:W3CDTF">2022-03-22T12:05:42Z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BE06D4A6CCDD4B8697C31C400953DB2A</vt:lpwstr>
  </property>
</Properties>
</file>